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0D0D0D" w:themeColor="text1" w:themeTint="F2"/>
          <w:sz w:val="28"/>
          <w:szCs w:val="28"/>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0"/>
          <w:sz w:val="28"/>
          <w:szCs w:val="28"/>
          <w14:textFill>
            <w14:solidFill>
              <w14:schemeClr w14:val="tx1">
                <w14:lumMod w14:val="95000"/>
                <w14:lumOff w14:val="5000"/>
              </w14:schemeClr>
            </w14:solidFill>
          </w14:textFill>
        </w:rPr>
        <w:t>附件</w:t>
      </w:r>
      <w:r>
        <w:rPr>
          <w:rFonts w:hint="eastAsia" w:ascii="宋体" w:hAnsi="宋体" w:eastAsia="宋体" w:cs="宋体"/>
          <w:color w:val="0D0D0D" w:themeColor="text1" w:themeTint="F2"/>
          <w:kern w:val="0"/>
          <w:sz w:val="28"/>
          <w:szCs w:val="28"/>
          <w:lang w:val="en-US" w:eastAsia="zh-CN"/>
          <w14:textFill>
            <w14:solidFill>
              <w14:schemeClr w14:val="tx1">
                <w14:lumMod w14:val="95000"/>
                <w14:lumOff w14:val="5000"/>
              </w14:schemeClr>
            </w14:solidFill>
          </w14:textFill>
        </w:rPr>
        <w:t>1</w:t>
      </w:r>
    </w:p>
    <w:p>
      <w:pPr>
        <w:jc w:val="center"/>
        <w:rPr>
          <w:rFonts w:hint="eastAsia" w:ascii="宋体" w:hAnsi="宋体" w:eastAsia="宋体" w:cs="宋体"/>
          <w:b/>
          <w:bCs/>
          <w:color w:val="0D0D0D" w:themeColor="text1" w:themeTint="F2"/>
          <w:kern w:val="2"/>
          <w:sz w:val="28"/>
          <w:szCs w:val="28"/>
          <w:lang w:val="en-US" w:eastAsia="zh-CN" w:bidi="ar-SA"/>
          <w14:textFill>
            <w14:solidFill>
              <w14:schemeClr w14:val="tx1">
                <w14:lumMod w14:val="95000"/>
                <w14:lumOff w14:val="5000"/>
              </w14:schemeClr>
            </w14:solidFill>
          </w14:textFill>
        </w:rPr>
      </w:pPr>
      <w:bookmarkStart w:id="0" w:name="_GoBack"/>
      <w:r>
        <w:rPr>
          <w:rFonts w:hint="eastAsia" w:ascii="宋体" w:hAnsi="宋体" w:eastAsia="宋体" w:cs="宋体"/>
          <w:b/>
          <w:bCs/>
          <w:color w:val="0D0D0D" w:themeColor="text1" w:themeTint="F2"/>
          <w:kern w:val="0"/>
          <w:sz w:val="28"/>
          <w:szCs w:val="28"/>
          <w:lang w:eastAsia="zh-CN"/>
          <w14:textFill>
            <w14:solidFill>
              <w14:schemeClr w14:val="tx1">
                <w14:lumMod w14:val="95000"/>
                <w14:lumOff w14:val="5000"/>
              </w14:schemeClr>
            </w14:solidFill>
          </w14:textFill>
        </w:rPr>
        <w:t>急救</w:t>
      </w:r>
      <w:r>
        <w:rPr>
          <w:rFonts w:hint="eastAsia" w:ascii="宋体" w:hAnsi="宋体" w:eastAsia="宋体" w:cs="宋体"/>
          <w:b/>
          <w:bCs/>
          <w:color w:val="0D0D0D" w:themeColor="text1" w:themeTint="F2"/>
          <w:sz w:val="28"/>
          <w:szCs w:val="28"/>
          <w:vertAlign w:val="baseline"/>
          <w:lang w:val="en-US" w:eastAsia="zh-CN"/>
          <w14:textFill>
            <w14:solidFill>
              <w14:schemeClr w14:val="tx1">
                <w14:lumMod w14:val="95000"/>
                <w14:lumOff w14:val="5000"/>
              </w14:schemeClr>
            </w14:solidFill>
          </w14:textFill>
        </w:rPr>
        <w:t>设备购置参数表</w:t>
      </w:r>
    </w:p>
    <w:bookmarkEnd w:id="0"/>
    <w:tbl>
      <w:tblPr>
        <w:tblStyle w:val="12"/>
        <w:tblpPr w:leftFromText="180" w:rightFromText="180" w:vertAnchor="text" w:tblpXSpec="center" w:tblpY="1"/>
        <w:tblOverlap w:val="never"/>
        <w:tblW w:w="51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183"/>
        <w:gridCol w:w="4832"/>
        <w:gridCol w:w="793"/>
        <w:gridCol w:w="791"/>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69" w:type="pct"/>
            <w:noWrap w:val="0"/>
            <w:vAlign w:val="center"/>
          </w:tcPr>
          <w:p>
            <w:pP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序号</w:t>
            </w:r>
          </w:p>
        </w:tc>
        <w:tc>
          <w:tcPr>
            <w:tcW w:w="588" w:type="pct"/>
            <w:noWrap w:val="0"/>
            <w:vAlign w:val="center"/>
          </w:tcPr>
          <w:p>
            <w:pP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设备名称</w:t>
            </w:r>
          </w:p>
        </w:tc>
        <w:tc>
          <w:tcPr>
            <w:tcW w:w="2402" w:type="pct"/>
            <w:noWrap w:val="0"/>
            <w:vAlign w:val="center"/>
          </w:tcPr>
          <w:p>
            <w:pP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产品描述</w:t>
            </w:r>
          </w:p>
        </w:tc>
        <w:tc>
          <w:tcPr>
            <w:tcW w:w="394" w:type="pct"/>
            <w:noWrap w:val="0"/>
            <w:vAlign w:val="center"/>
          </w:tcPr>
          <w:p>
            <w:pPr>
              <w:jc w:val="cente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单位</w:t>
            </w:r>
          </w:p>
        </w:tc>
        <w:tc>
          <w:tcPr>
            <w:tcW w:w="393" w:type="pct"/>
            <w:noWrap w:val="0"/>
            <w:vAlign w:val="center"/>
          </w:tcPr>
          <w:p>
            <w:pPr>
              <w:jc w:val="cente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数量</w:t>
            </w:r>
          </w:p>
        </w:tc>
        <w:tc>
          <w:tcPr>
            <w:tcW w:w="851" w:type="pct"/>
            <w:noWrap w:val="0"/>
            <w:vAlign w:val="center"/>
          </w:tcPr>
          <w:p>
            <w:pP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4"/>
                <w:szCs w:val="24"/>
                <w:lang w:val="en-US" w:eastAsia="zh-CN" w:bidi="ar-SA"/>
                <w14:textFill>
                  <w14:solidFill>
                    <w14:schemeClr w14:val="tx1">
                      <w14:lumMod w14:val="95000"/>
                      <w14:lumOff w14:val="5000"/>
                    </w14:schemeClr>
                  </w14:solidFill>
                </w14:textFill>
              </w:rPr>
              <w:t>预算合计（元）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noWrap w:val="0"/>
            <w:vAlign w:val="center"/>
          </w:tcPr>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1</w:t>
            </w:r>
          </w:p>
        </w:tc>
        <w:tc>
          <w:tcPr>
            <w:tcW w:w="588"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自动体外除颤器（AED）</w:t>
            </w:r>
          </w:p>
        </w:tc>
        <w:tc>
          <w:tcPr>
            <w:tcW w:w="2402"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一、除颤功能</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1、除颤波形能量：采用电流控制的双相波技术（CCD），对心肌损伤小；</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★2、除颤能量：最高≥150焦耳能量除颤；</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3、充电时间：≤15秒；</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4、电极：有明显的体表定位提示，有效防止粘贴错误；</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★5、电极有效期：≥3年；</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6、操作方式：操作简易能自动分析心律，通过语音或视觉提示救护者按“电击”按钮进行放电。 </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7、电池类型：高性能一次性锂电池；</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★8、除颤次数：电池能支持连续≥150焦耳能量除颤≥200次。</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9、语音提示：标配四种语言，指导操作流程与心肺复苏。</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二、其他功能</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1、具备将整个急救过程全程录音并存储功能；</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2、专用的回放和分析软件,对除颤事件作出完整的回顾和分析；</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3、内部的自检功能：每天进行一次系统自检,并有窗口显示自检结果；</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4、具有与机器一体化的提手；</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5、系统具有防尘防水设计， 级别≥IP55；</w:t>
            </w:r>
          </w:p>
          <w:p>
            <w:pPr>
              <w:rPr>
                <w:rFonts w:hint="default"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★6、允许非专业人士操作使用，具有较强抗震功能。</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7、带机盖，开盖自动开机；机盖内标配急救包；</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8、可选配智能AED外箱及网络管理软件，便于使用和维护AED；可实现公共场所的远程监控和维护等。</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9、保修时间：整机保修二年。</w:t>
            </w:r>
          </w:p>
        </w:tc>
        <w:tc>
          <w:tcPr>
            <w:tcW w:w="394"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台</w:t>
            </w:r>
          </w:p>
        </w:tc>
        <w:tc>
          <w:tcPr>
            <w:tcW w:w="393"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1</w:t>
            </w:r>
          </w:p>
        </w:tc>
        <w:tc>
          <w:tcPr>
            <w:tcW w:w="851"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2</w:t>
            </w:r>
          </w:p>
        </w:tc>
        <w:tc>
          <w:tcPr>
            <w:tcW w:w="588"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电动吸引器</w:t>
            </w:r>
          </w:p>
        </w:tc>
        <w:tc>
          <w:tcPr>
            <w:tcW w:w="2402"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1、供医疗手术时作真空吸引用，本机不适合在易燃、易爆气体的场合使用。</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2、产品结构主要由活塞泵、真空表、负压调节阀、空气过滤器、贮液瓶、脚踏开关等部件组成。</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3、输入功率：≤180VA</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4、吸引泵：活塞泵</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5、极限负压值：≥0.08MPa（760mmHg）</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6、负压调节范围：0.02MPa-极限负压值</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7、噪声：≤65dB(A)</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★8、抽气速率：≥20L/min（760mmHg）</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★9、贮液瓶容量：2500mL/只，2只一组</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10、环境温度范围：-40℃- +70℃</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11、相对湿度范围：10%-100%</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12、大气压力范围：5000hPa-1060hPa</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13、配置清单：腹腔吸引管一支、吸引软导管（长度2M，7*12）一根、空气过滤器二只、脚踏开关一只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14、保修期：整机保修二年。</w:t>
            </w:r>
          </w:p>
        </w:tc>
        <w:tc>
          <w:tcPr>
            <w:tcW w:w="394"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台</w:t>
            </w:r>
          </w:p>
        </w:tc>
        <w:tc>
          <w:tcPr>
            <w:tcW w:w="393"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1</w:t>
            </w:r>
          </w:p>
        </w:tc>
        <w:tc>
          <w:tcPr>
            <w:tcW w:w="851"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3</w:t>
            </w:r>
          </w:p>
        </w:tc>
        <w:tc>
          <w:tcPr>
            <w:tcW w:w="588"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急救箱</w:t>
            </w:r>
          </w:p>
        </w:tc>
        <w:tc>
          <w:tcPr>
            <w:tcW w:w="2402"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卫生急救</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jc w:val="left"/>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医用脱脂绷带</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8*600cm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卷</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医用脱脂棉</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10g</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包</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医用平纹弹性绷带</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7.5*450cm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 卷</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医用脱脂纱布（2片/袋）</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7.5*7.5cm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5</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袋</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医用夹板（前臂） 成人中号 4片/套</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套</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医用供氧器</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湿化瓶（流量式）</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加湿器管</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1根</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专用扳手</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氧桥</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氧气瓶、阀、表总成</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1件</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医用供氧器说明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1本</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应急工具</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欧姆龙电子血压计</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3M听诊器</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水银体温计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1支</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压舌板</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16cm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1件</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眼底手电</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14cm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七号电池</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2节</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简易呼吸器</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成人</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1套</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一次性使用麻醉咽喉镜</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1套</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舌钳</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17cm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丁字式开口器</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13cm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小砂轮</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直径2cm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一次性使用无菌急救包</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82型</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1包</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牙垫</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大号</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指甲式血氧仪</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外科缝合包亦可用于接生</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手术刀柄</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4号</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手术刀片</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2个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持针钳</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14cm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普通手术剪（直）14cm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普通手术剪（弯）14cm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敷料镊（不锈钢）12.5cm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2把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组织镊</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12.5cm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帕巾钳</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11cm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2个</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灭菌橡胶手套7#</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1双</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洞巾</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46*33cm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1条</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棉线绳</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Ф2mm</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 xml:space="preserve">              1根</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一次性使用清创换药包（包含但不限于：一次性使用橡胶检查手套（1副），非吸收性外科缝线（2根），医用缝合针（圆1/2弧 、三角1/2弧），医用纱布片（2块），一次性使用洞巾（1条），一次性使用镊子（1把尖头），一次性使用镊子（1把圆头），一次性使用棉球（碘伏棉球1袋），一次性使用棉球（干棉球2只），托盘）</w:t>
            </w: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ab/>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急救箱包相关资料、外箱（拉杆型铝合金）</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保修期：整箱保修二年。</w:t>
            </w:r>
          </w:p>
        </w:tc>
        <w:tc>
          <w:tcPr>
            <w:tcW w:w="394" w:type="pct"/>
            <w:noWrap w:val="0"/>
            <w:vAlign w:val="center"/>
          </w:tcPr>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个</w:t>
            </w:r>
          </w:p>
        </w:tc>
        <w:tc>
          <w:tcPr>
            <w:tcW w:w="393"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3</w:t>
            </w:r>
          </w:p>
        </w:tc>
        <w:tc>
          <w:tcPr>
            <w:tcW w:w="851"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4</w:t>
            </w:r>
          </w:p>
        </w:tc>
        <w:tc>
          <w:tcPr>
            <w:tcW w:w="588"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标本运输箱</w:t>
            </w:r>
          </w:p>
        </w:tc>
        <w:tc>
          <w:tcPr>
            <w:tcW w:w="2402"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1、容量：≤12升</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2、颜色：蓝色</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3、箱子重量：≤2.5千克</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4、外尺寸：420×240×300 mm，允许误差范围：±20mm</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5、内尺寸：330×170×225 mm，允许误差范围：±20mm</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6、配置：箱体1个、数显液晶温度计1个、背带1条、托盘、隔板、4个0.4L克蓄冷冰盒、95千帕运输生物安全运输罐2个（可装≥40份标本）、吸附垫片2枚、海绵试管架2个、生物安全运输标签1套</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7、箱体材料：外层材料：高强度工程食品级塑料，聚丙烯 PP材料，提手ABS+尼龙。箱体隔热层：PU无氟聚氨酯发泡（厚≥32mm）。</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8、产品用途：运输A类和B类可致病性病毒、菌株、传染性样本（包含但不限于2019新冠状病毒、HIV血液样本、禽流感样本、口蹄疫样本、鼠疫样本、SARS样本、埃博拉样本等）。</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9、温度要求:在环境温度20℃-25℃，保持箱内温度2℃ -8℃≥24小时。</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★10、箱子上带有封签孔功能，箱盖上有弯度扶手位。</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★11、检测证明：</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（1）符合国家级别第三方机构关于危险品规格、危险物品安全航空运输要求鉴定报告95千帕A类生物安全运输罐密封性能报告；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（2）符合国家级别第三方机构关于危险品规格、危险物品安全航空运输要求鉴定的生物安全运输箱报告；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（3）保温箱提供由塑料制品质量监督单位提供的权威食品级卫生性能检测报告。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（4）蓄冷材料冰排外表面可溶物接触食品级环保无毒报告。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（5）通过玩具用涂料中有害物质限量、食品安全国家标准，食品接触用塑料材料及制品检验检测报告。</w:t>
            </w:r>
          </w:p>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t>12、保修期：整箱保修二年。</w:t>
            </w:r>
          </w:p>
        </w:tc>
        <w:tc>
          <w:tcPr>
            <w:tcW w:w="394"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个</w:t>
            </w:r>
          </w:p>
        </w:tc>
        <w:tc>
          <w:tcPr>
            <w:tcW w:w="393"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2</w:t>
            </w:r>
          </w:p>
        </w:tc>
        <w:tc>
          <w:tcPr>
            <w:tcW w:w="851" w:type="pct"/>
            <w:noWrap w:val="0"/>
            <w:vAlign w:val="center"/>
          </w:tcPr>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3962.00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tc>
        <w:tc>
          <w:tcPr>
            <w:tcW w:w="588" w:type="pct"/>
            <w:noWrap w:val="0"/>
            <w:vAlign w:val="center"/>
          </w:tcPr>
          <w:p>
            <w:pPr>
              <w:rPr>
                <w:rFonts w:hint="eastAsia" w:ascii="宋体" w:hAnsi="宋体" w:eastAsia="宋体" w:cs="宋体"/>
                <w:color w:val="0D0D0D" w:themeColor="text1" w:themeTint="F2"/>
                <w:kern w:val="2"/>
                <w:sz w:val="21"/>
                <w:szCs w:val="21"/>
                <w:lang w:val="en-US" w:eastAsia="zh-CN" w:bidi="ar-SA"/>
                <w14:textFill>
                  <w14:solidFill>
                    <w14:schemeClr w14:val="tx1">
                      <w14:lumMod w14:val="95000"/>
                      <w14:lumOff w14:val="5000"/>
                    </w14:schemeClr>
                  </w14:solidFill>
                </w14:textFill>
              </w:rPr>
            </w:pPr>
          </w:p>
        </w:tc>
        <w:tc>
          <w:tcPr>
            <w:tcW w:w="2402" w:type="pct"/>
            <w:noWrap w:val="0"/>
            <w:vAlign w:val="center"/>
          </w:tcPr>
          <w:p>
            <w:pPr>
              <w:ind w:left="1050" w:hanging="1054" w:hangingChars="500"/>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 xml:space="preserve">  合计：</w:t>
            </w:r>
          </w:p>
        </w:tc>
        <w:tc>
          <w:tcPr>
            <w:tcW w:w="394"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p>
        </w:tc>
        <w:tc>
          <w:tcPr>
            <w:tcW w:w="393"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7</w:t>
            </w:r>
          </w:p>
        </w:tc>
        <w:tc>
          <w:tcPr>
            <w:tcW w:w="851" w:type="pct"/>
            <w:noWrap w:val="0"/>
            <w:vAlign w:val="center"/>
          </w:tcPr>
          <w:p>
            <w:pPr>
              <w:jc w:val="cente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lang w:val="en-US" w:eastAsia="zh-CN" w:bidi="ar-SA"/>
                <w14:textFill>
                  <w14:solidFill>
                    <w14:schemeClr w14:val="tx1">
                      <w14:lumMod w14:val="95000"/>
                      <w14:lumOff w14:val="5000"/>
                    </w14:schemeClr>
                  </w14:solidFill>
                </w14:textFill>
              </w:rPr>
              <w:t>59662.00</w:t>
            </w:r>
          </w:p>
        </w:tc>
      </w:tr>
    </w:tbl>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rPr>
          <w:rFonts w:asciiTheme="minorHAnsi" w:hAnsiTheme="minorHAnsi" w:eastAsiaTheme="minorEastAsia" w:cstheme="minorBidi"/>
          <w:color w:val="0D0D0D" w:themeColor="text1" w:themeTint="F2"/>
          <w:kern w:val="2"/>
          <w:sz w:val="21"/>
          <w:szCs w:val="22"/>
          <w:lang w:val="en-US" w:eastAsia="zh-CN" w:bidi="ar-SA"/>
          <w14:textFill>
            <w14:solidFill>
              <w14:schemeClr w14:val="tx1">
                <w14:lumMod w14:val="95000"/>
                <w14:lumOff w14:val="5000"/>
              </w14:schemeClr>
            </w14:solidFill>
          </w14:textFill>
        </w:rPr>
      </w:pPr>
    </w:p>
    <w:p>
      <w:pPr>
        <w:tabs>
          <w:tab w:val="left" w:pos="709"/>
        </w:tabs>
        <w:jc w:val="left"/>
        <w:rPr>
          <w:color w:val="0D0D0D" w:themeColor="text1" w:themeTint="F2"/>
          <w:lang w:val="en-US" w:eastAsia="zh-CN"/>
          <w14:textFill>
            <w14:solidFill>
              <w14:schemeClr w14:val="tx1">
                <w14:lumMod w14:val="95000"/>
                <w14:lumOff w14:val="5000"/>
              </w14:schemeClr>
            </w14:solidFill>
          </w14:textFill>
        </w:rPr>
      </w:pPr>
    </w:p>
    <w:sectPr>
      <w:footerReference r:id="rId3"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006D2CA4"/>
    <w:rsid w:val="000A5AC4"/>
    <w:rsid w:val="00581469"/>
    <w:rsid w:val="006D2CA4"/>
    <w:rsid w:val="00A0455D"/>
    <w:rsid w:val="00A403FC"/>
    <w:rsid w:val="01675113"/>
    <w:rsid w:val="01AA1A01"/>
    <w:rsid w:val="01BF55EC"/>
    <w:rsid w:val="02B251D5"/>
    <w:rsid w:val="036D77EA"/>
    <w:rsid w:val="03C41A92"/>
    <w:rsid w:val="04005A46"/>
    <w:rsid w:val="041B0AF9"/>
    <w:rsid w:val="05E2349C"/>
    <w:rsid w:val="06120570"/>
    <w:rsid w:val="06EC0993"/>
    <w:rsid w:val="0C1C085B"/>
    <w:rsid w:val="0DFB595C"/>
    <w:rsid w:val="0E246FE3"/>
    <w:rsid w:val="0F193953"/>
    <w:rsid w:val="0FA74C7A"/>
    <w:rsid w:val="0FCA4314"/>
    <w:rsid w:val="0FEA00F1"/>
    <w:rsid w:val="108101C1"/>
    <w:rsid w:val="10A24E20"/>
    <w:rsid w:val="119B57D0"/>
    <w:rsid w:val="11FD584D"/>
    <w:rsid w:val="124D1106"/>
    <w:rsid w:val="128E0192"/>
    <w:rsid w:val="12F742ED"/>
    <w:rsid w:val="15105EB5"/>
    <w:rsid w:val="16841AF4"/>
    <w:rsid w:val="16A678B7"/>
    <w:rsid w:val="16D53FD7"/>
    <w:rsid w:val="1AA41574"/>
    <w:rsid w:val="1D9D498F"/>
    <w:rsid w:val="1E070B26"/>
    <w:rsid w:val="1E0F3ACB"/>
    <w:rsid w:val="1FA0020F"/>
    <w:rsid w:val="2047366F"/>
    <w:rsid w:val="20566CAE"/>
    <w:rsid w:val="20E14583"/>
    <w:rsid w:val="218015BF"/>
    <w:rsid w:val="22D32D7F"/>
    <w:rsid w:val="23FD00DF"/>
    <w:rsid w:val="25A60160"/>
    <w:rsid w:val="25F87645"/>
    <w:rsid w:val="26C968E4"/>
    <w:rsid w:val="27160748"/>
    <w:rsid w:val="278B5337"/>
    <w:rsid w:val="28BC74DF"/>
    <w:rsid w:val="2A3E434D"/>
    <w:rsid w:val="2A6326ED"/>
    <w:rsid w:val="2A6E6241"/>
    <w:rsid w:val="2BEA4DB7"/>
    <w:rsid w:val="2CE10C6A"/>
    <w:rsid w:val="2CF873ED"/>
    <w:rsid w:val="2D0A64AD"/>
    <w:rsid w:val="2E350C85"/>
    <w:rsid w:val="2E893722"/>
    <w:rsid w:val="30AD359C"/>
    <w:rsid w:val="30BE2C80"/>
    <w:rsid w:val="31315743"/>
    <w:rsid w:val="33A35F01"/>
    <w:rsid w:val="34535557"/>
    <w:rsid w:val="36BB303E"/>
    <w:rsid w:val="36C36211"/>
    <w:rsid w:val="391719C4"/>
    <w:rsid w:val="3AE2386F"/>
    <w:rsid w:val="3D937B88"/>
    <w:rsid w:val="3DD07C2E"/>
    <w:rsid w:val="3E0A5C31"/>
    <w:rsid w:val="3F135E50"/>
    <w:rsid w:val="3F5B292D"/>
    <w:rsid w:val="40D96EAE"/>
    <w:rsid w:val="41D35430"/>
    <w:rsid w:val="42216CCB"/>
    <w:rsid w:val="42E84590"/>
    <w:rsid w:val="43463AB8"/>
    <w:rsid w:val="45541D46"/>
    <w:rsid w:val="46CB2798"/>
    <w:rsid w:val="470755BD"/>
    <w:rsid w:val="498371A7"/>
    <w:rsid w:val="4B1C5387"/>
    <w:rsid w:val="4B7A72E2"/>
    <w:rsid w:val="4C1136C7"/>
    <w:rsid w:val="4CD765B7"/>
    <w:rsid w:val="4E8D44B3"/>
    <w:rsid w:val="4F9A5B28"/>
    <w:rsid w:val="50396AA4"/>
    <w:rsid w:val="51264AF8"/>
    <w:rsid w:val="517D0778"/>
    <w:rsid w:val="55CE4216"/>
    <w:rsid w:val="55D7131D"/>
    <w:rsid w:val="56D37AD5"/>
    <w:rsid w:val="59C223CC"/>
    <w:rsid w:val="5AA747BC"/>
    <w:rsid w:val="5ABB3051"/>
    <w:rsid w:val="5C9E5001"/>
    <w:rsid w:val="5DA044B5"/>
    <w:rsid w:val="5F515BEF"/>
    <w:rsid w:val="601720E3"/>
    <w:rsid w:val="62664073"/>
    <w:rsid w:val="633619FB"/>
    <w:rsid w:val="63722511"/>
    <w:rsid w:val="64F0354A"/>
    <w:rsid w:val="65360E2D"/>
    <w:rsid w:val="65CB7E92"/>
    <w:rsid w:val="65EB128B"/>
    <w:rsid w:val="660569F7"/>
    <w:rsid w:val="68076C96"/>
    <w:rsid w:val="6B697620"/>
    <w:rsid w:val="6D811E24"/>
    <w:rsid w:val="6E066245"/>
    <w:rsid w:val="6E385636"/>
    <w:rsid w:val="6EB2399D"/>
    <w:rsid w:val="6EFA05AD"/>
    <w:rsid w:val="6F674C4E"/>
    <w:rsid w:val="6FC9656D"/>
    <w:rsid w:val="702A1344"/>
    <w:rsid w:val="70CF4F21"/>
    <w:rsid w:val="71962BBA"/>
    <w:rsid w:val="720B538C"/>
    <w:rsid w:val="73E34883"/>
    <w:rsid w:val="749255CD"/>
    <w:rsid w:val="755C6A96"/>
    <w:rsid w:val="77833BD3"/>
    <w:rsid w:val="78CF496D"/>
    <w:rsid w:val="78DA72D4"/>
    <w:rsid w:val="78EE7849"/>
    <w:rsid w:val="78F35AD2"/>
    <w:rsid w:val="7E0259B4"/>
    <w:rsid w:val="7E08067B"/>
    <w:rsid w:val="7E9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rPr>
      <w:rFonts w:hAnsi="宋体"/>
    </w:rPr>
  </w:style>
  <w:style w:type="paragraph" w:styleId="3">
    <w:name w:val="Body Text Indent"/>
    <w:basedOn w:val="1"/>
    <w:unhideWhenUsed/>
    <w:qFormat/>
    <w:uiPriority w:val="99"/>
    <w:pPr>
      <w:spacing w:line="460" w:lineRule="exact"/>
      <w:ind w:firstLine="510"/>
    </w:pPr>
    <w:rPr>
      <w:szCs w:val="20"/>
    </w:rPr>
  </w:style>
  <w:style w:type="paragraph" w:styleId="6">
    <w:name w:val="Balloon Text"/>
    <w:basedOn w:val="1"/>
    <w:link w:val="20"/>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paragraph" w:customStyle="1" w:styleId="15">
    <w:name w:val="表格文字"/>
    <w:basedOn w:val="1"/>
    <w:qFormat/>
    <w:uiPriority w:val="0"/>
    <w:pPr>
      <w:spacing w:before="25" w:after="25"/>
      <w:jc w:val="left"/>
    </w:pPr>
    <w:rPr>
      <w:bCs/>
      <w:spacing w:val="10"/>
      <w:kern w:val="0"/>
      <w:sz w:val="24"/>
    </w:rPr>
  </w:style>
  <w:style w:type="character" w:customStyle="1" w:styleId="16">
    <w:name w:val="页眉 Char"/>
    <w:basedOn w:val="13"/>
    <w:link w:val="8"/>
    <w:semiHidden/>
    <w:qFormat/>
    <w:uiPriority w:val="99"/>
    <w:rPr>
      <w:sz w:val="18"/>
      <w:szCs w:val="18"/>
    </w:rPr>
  </w:style>
  <w:style w:type="character" w:customStyle="1" w:styleId="17">
    <w:name w:val="页脚 Char"/>
    <w:basedOn w:val="13"/>
    <w:link w:val="7"/>
    <w:semiHidden/>
    <w:qFormat/>
    <w:uiPriority w:val="99"/>
    <w:rPr>
      <w:sz w:val="18"/>
      <w:szCs w:val="18"/>
    </w:rPr>
  </w:style>
  <w:style w:type="character" w:customStyle="1" w:styleId="18">
    <w:name w:val="标题 1 Char"/>
    <w:basedOn w:val="13"/>
    <w:link w:val="4"/>
    <w:qFormat/>
    <w:uiPriority w:val="9"/>
    <w:rPr>
      <w:rFonts w:ascii="宋体" w:hAnsi="宋体" w:eastAsia="宋体" w:cs="宋体"/>
      <w:b/>
      <w:bCs/>
      <w:kern w:val="36"/>
      <w:sz w:val="48"/>
      <w:szCs w:val="48"/>
    </w:rPr>
  </w:style>
  <w:style w:type="character" w:customStyle="1" w:styleId="19">
    <w:name w:val="标题 3 Char"/>
    <w:basedOn w:val="13"/>
    <w:link w:val="5"/>
    <w:semiHidden/>
    <w:qFormat/>
    <w:uiPriority w:val="9"/>
    <w:rPr>
      <w:b/>
      <w:bCs/>
      <w:sz w:val="32"/>
      <w:szCs w:val="32"/>
    </w:rPr>
  </w:style>
  <w:style w:type="character" w:customStyle="1" w:styleId="20">
    <w:name w:val="批注框文本 Char"/>
    <w:basedOn w:val="13"/>
    <w:link w:val="6"/>
    <w:semiHidden/>
    <w:qFormat/>
    <w:uiPriority w:val="99"/>
    <w:rPr>
      <w:sz w:val="18"/>
      <w:szCs w:val="18"/>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4314</Words>
  <Characters>4751</Characters>
  <Lines>11</Lines>
  <Paragraphs>3</Paragraphs>
  <TotalTime>3</TotalTime>
  <ScaleCrop>false</ScaleCrop>
  <LinksUpToDate>false</LinksUpToDate>
  <CharactersWithSpaces>5435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2019-02-11T06:41:00Z</dcterms:created>
  <dc:creator>dreamsummit</dc:creator>
  <cp:lastModifiedBy>赵春艳</cp:lastModifiedBy>
  <cp:lastPrinted>2022-12-06T03:01:00Z</cp:lastPrinted>
  <dcterms:modified xsi:type="dcterms:W3CDTF">2022-12-06T10:53:29Z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33461082B4C7450E84FD8AE2D058225D</vt:lpwstr>
  </property>
</Properties>
</file>